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D62" w:rsidRPr="00DD4714" w:rsidRDefault="00F62C5A" w:rsidP="00DD4714">
      <w:pPr>
        <w:pStyle w:val="Heading1"/>
        <w:jc w:val="center"/>
      </w:pPr>
      <w:r w:rsidRPr="00DD4714">
        <w:t xml:space="preserve">All </w:t>
      </w:r>
      <w:r w:rsidR="00447278" w:rsidRPr="00DD4714">
        <w:t>Instrument</w:t>
      </w:r>
      <w:r w:rsidRPr="00DD4714">
        <w:t>s</w:t>
      </w:r>
      <w:r w:rsidR="005C4D62" w:rsidRPr="00DD4714">
        <w:t xml:space="preserve">: </w:t>
      </w:r>
      <w:r w:rsidRPr="00DD4714">
        <w:t>E-mail Address Lists</w:t>
      </w:r>
    </w:p>
    <w:tbl>
      <w:tblPr>
        <w:tblStyle w:val="TableGrid"/>
        <w:tblW w:w="0" w:type="auto"/>
        <w:tblLayout w:type="fixed"/>
        <w:tblLook w:val="01E0" w:firstRow="1" w:lastRow="1" w:firstColumn="1" w:lastColumn="1" w:noHBand="0" w:noVBand="0"/>
      </w:tblPr>
      <w:tblGrid>
        <w:gridCol w:w="2034"/>
        <w:gridCol w:w="2034"/>
        <w:gridCol w:w="4788"/>
      </w:tblGrid>
      <w:tr w:rsidR="0010705A" w:rsidTr="00DD4714">
        <w:tc>
          <w:tcPr>
            <w:tcW w:w="2034" w:type="dxa"/>
            <w:shd w:val="clear" w:color="auto" w:fill="D9D9D9" w:themeFill="background1" w:themeFillShade="D9"/>
          </w:tcPr>
          <w:p w:rsidR="0010705A" w:rsidRPr="00DD4714" w:rsidRDefault="0010705A" w:rsidP="0010705A">
            <w:pPr>
              <w:jc w:val="center"/>
              <w:rPr>
                <w:b/>
              </w:rPr>
            </w:pPr>
            <w:r w:rsidRPr="00DD4714">
              <w:rPr>
                <w:b/>
              </w:rPr>
              <w:t>Author</w:t>
            </w:r>
          </w:p>
        </w:tc>
        <w:tc>
          <w:tcPr>
            <w:tcW w:w="2034" w:type="dxa"/>
            <w:shd w:val="clear" w:color="auto" w:fill="D9D9D9" w:themeFill="background1" w:themeFillShade="D9"/>
          </w:tcPr>
          <w:p w:rsidR="0010705A" w:rsidRPr="00DD4714" w:rsidRDefault="0010705A" w:rsidP="0010705A">
            <w:pPr>
              <w:jc w:val="center"/>
              <w:rPr>
                <w:b/>
              </w:rPr>
            </w:pPr>
            <w:r w:rsidRPr="00DD4714">
              <w:rPr>
                <w:b/>
              </w:rPr>
              <w:t>Date</w:t>
            </w:r>
          </w:p>
        </w:tc>
        <w:tc>
          <w:tcPr>
            <w:tcW w:w="4788" w:type="dxa"/>
            <w:shd w:val="clear" w:color="auto" w:fill="D9D9D9" w:themeFill="background1" w:themeFillShade="D9"/>
          </w:tcPr>
          <w:p w:rsidR="0010705A" w:rsidRPr="00DD4714" w:rsidRDefault="0010705A" w:rsidP="0010705A">
            <w:pPr>
              <w:jc w:val="center"/>
              <w:rPr>
                <w:b/>
              </w:rPr>
            </w:pPr>
            <w:r w:rsidRPr="00DD4714">
              <w:rPr>
                <w:b/>
              </w:rPr>
              <w:t>Comment</w:t>
            </w:r>
          </w:p>
        </w:tc>
      </w:tr>
      <w:tr w:rsidR="00455F2A" w:rsidTr="00DD4714">
        <w:tc>
          <w:tcPr>
            <w:tcW w:w="2034" w:type="dxa"/>
          </w:tcPr>
          <w:p w:rsidR="00455F2A" w:rsidRPr="0010705A" w:rsidRDefault="00455F2A" w:rsidP="00DD4714">
            <w:r>
              <w:t>Marc Kassis</w:t>
            </w:r>
          </w:p>
        </w:tc>
        <w:tc>
          <w:tcPr>
            <w:tcW w:w="2034" w:type="dxa"/>
          </w:tcPr>
          <w:p w:rsidR="00455F2A" w:rsidRPr="0010705A" w:rsidRDefault="00455F2A" w:rsidP="00B05A65">
            <w:pPr>
              <w:jc w:val="center"/>
            </w:pPr>
            <w:r>
              <w:t>5 June 2007</w:t>
            </w:r>
          </w:p>
        </w:tc>
        <w:tc>
          <w:tcPr>
            <w:tcW w:w="4788" w:type="dxa"/>
          </w:tcPr>
          <w:p w:rsidR="00455F2A" w:rsidRPr="0010705A" w:rsidRDefault="00455F2A" w:rsidP="00DD4714">
            <w:r>
              <w:t>Original</w:t>
            </w:r>
          </w:p>
        </w:tc>
      </w:tr>
      <w:tr w:rsidR="0010705A" w:rsidTr="00DD4714">
        <w:tc>
          <w:tcPr>
            <w:tcW w:w="2034" w:type="dxa"/>
          </w:tcPr>
          <w:p w:rsidR="0010705A" w:rsidRPr="0010705A" w:rsidRDefault="00455F2A" w:rsidP="00DD4714">
            <w:r>
              <w:t>Marc Kassis</w:t>
            </w:r>
          </w:p>
        </w:tc>
        <w:tc>
          <w:tcPr>
            <w:tcW w:w="2034" w:type="dxa"/>
          </w:tcPr>
          <w:p w:rsidR="0010705A" w:rsidRPr="0010705A" w:rsidRDefault="00455F2A" w:rsidP="00B05A65">
            <w:pPr>
              <w:jc w:val="center"/>
            </w:pPr>
            <w:r>
              <w:t>3 July 2007</w:t>
            </w:r>
          </w:p>
        </w:tc>
        <w:tc>
          <w:tcPr>
            <w:tcW w:w="4788" w:type="dxa"/>
          </w:tcPr>
          <w:p w:rsidR="0010705A" w:rsidRPr="0010705A" w:rsidRDefault="00455F2A" w:rsidP="00DD4714">
            <w:r>
              <w:t>Added modification instructions and protocol</w:t>
            </w:r>
          </w:p>
        </w:tc>
      </w:tr>
      <w:tr w:rsidR="00DC38AC" w:rsidTr="00DD4714">
        <w:tc>
          <w:tcPr>
            <w:tcW w:w="2034" w:type="dxa"/>
          </w:tcPr>
          <w:p w:rsidR="00DC38AC" w:rsidRDefault="00DC38AC" w:rsidP="00DD4714">
            <w:r>
              <w:t>Jim Lyke</w:t>
            </w:r>
          </w:p>
        </w:tc>
        <w:tc>
          <w:tcPr>
            <w:tcW w:w="2034" w:type="dxa"/>
          </w:tcPr>
          <w:p w:rsidR="00DC38AC" w:rsidRDefault="00DC38AC" w:rsidP="00B05A65">
            <w:pPr>
              <w:jc w:val="center"/>
            </w:pPr>
            <w:r>
              <w:t>29 Jan 2009</w:t>
            </w:r>
          </w:p>
        </w:tc>
        <w:tc>
          <w:tcPr>
            <w:tcW w:w="4788" w:type="dxa"/>
          </w:tcPr>
          <w:p w:rsidR="00DC38AC" w:rsidRDefault="00DC38AC" w:rsidP="00DD4714">
            <w:r>
              <w:t xml:space="preserve">Updated </w:t>
            </w:r>
            <w:proofErr w:type="spellStart"/>
            <w:r>
              <w:t>nirspec_info</w:t>
            </w:r>
            <w:proofErr w:type="spellEnd"/>
            <w:r>
              <w:t xml:space="preserve"> members</w:t>
            </w:r>
          </w:p>
        </w:tc>
      </w:tr>
      <w:tr w:rsidR="00B05A65" w:rsidTr="0010705A">
        <w:tc>
          <w:tcPr>
            <w:tcW w:w="2034" w:type="dxa"/>
          </w:tcPr>
          <w:p w:rsidR="00B05A65" w:rsidRDefault="00B05A65" w:rsidP="00B05A65">
            <w:r>
              <w:t>Gregory D. Wirth</w:t>
            </w:r>
          </w:p>
        </w:tc>
        <w:tc>
          <w:tcPr>
            <w:tcW w:w="2034" w:type="dxa"/>
          </w:tcPr>
          <w:p w:rsidR="00B05A65" w:rsidRDefault="00B05A65" w:rsidP="00B05A65">
            <w:pPr>
              <w:jc w:val="center"/>
            </w:pPr>
            <w:r>
              <w:t>10 Dec 2012</w:t>
            </w:r>
          </w:p>
        </w:tc>
        <w:tc>
          <w:tcPr>
            <w:tcW w:w="4788" w:type="dxa"/>
          </w:tcPr>
          <w:p w:rsidR="00B05A65" w:rsidRDefault="00B05A65" w:rsidP="00175AD5">
            <w:r>
              <w:t xml:space="preserve">Add </w:t>
            </w:r>
            <w:r w:rsidR="00175AD5">
              <w:t xml:space="preserve">appendix </w:t>
            </w:r>
          </w:p>
        </w:tc>
      </w:tr>
    </w:tbl>
    <w:p w:rsidR="005C4D62" w:rsidRDefault="005C4D62"/>
    <w:p w:rsidR="00455F2A" w:rsidRPr="00DD4714" w:rsidRDefault="00455F2A" w:rsidP="00DD4714">
      <w:bookmarkStart w:id="0" w:name="OLE_LINK3"/>
      <w:bookmarkStart w:id="1" w:name="OLE_LINK4"/>
      <w:r w:rsidRPr="00DD4714">
        <w:t>This document proposes adopting a suit of e-mail mailing lists for use in notifying various personnel about the status of instruments. The proposed mailing lists will be maintained by our computer system administrative staff. The new suite of mailing lists will have a common format across all instruments for ease of use. The personnel associated with each mailing list are easy to view using email software such as Microso</w:t>
      </w:r>
      <w:r w:rsidR="00B05A65" w:rsidRPr="00DD4714">
        <w:t xml:space="preserve">ft Outlook, and </w:t>
      </w:r>
      <w:r w:rsidR="00B05A65">
        <w:t>a single point of contact (Gloria Martin) has been designated as the maintainer of</w:t>
      </w:r>
      <w:r w:rsidR="00B05A65" w:rsidRPr="00DD4714">
        <w:t xml:space="preserve"> the lists</w:t>
      </w:r>
      <w:r w:rsidRPr="00DD4714">
        <w:t xml:space="preserve">. </w:t>
      </w:r>
    </w:p>
    <w:p w:rsidR="00455F2A" w:rsidRPr="00DD4714" w:rsidRDefault="00455F2A" w:rsidP="00DD4714"/>
    <w:p w:rsidR="00455F2A" w:rsidRPr="00DD4714" w:rsidRDefault="00455F2A" w:rsidP="00DD4714">
      <w:r w:rsidRPr="00DD4714">
        <w:t xml:space="preserve">The proposed new system would replace two methods currently used to send messages to support and technical staff: mailing lists known to a select few instrument specialists, and the use of </w:t>
      </w:r>
      <w:r w:rsidRPr="00B05A65">
        <w:rPr>
          <w:rFonts w:ascii="Courier New" w:hAnsi="Courier New"/>
          <w:sz w:val="20"/>
        </w:rPr>
        <w:t>.forward</w:t>
      </w:r>
      <w:r w:rsidRPr="00DD4714">
        <w:t xml:space="preserve"> files located on </w:t>
      </w:r>
      <w:proofErr w:type="spellStart"/>
      <w:r w:rsidRPr="00B05A65">
        <w:rPr>
          <w:rFonts w:ascii="Courier New" w:hAnsi="Courier New"/>
          <w:sz w:val="20"/>
        </w:rPr>
        <w:t>hapuna</w:t>
      </w:r>
      <w:proofErr w:type="spellEnd"/>
      <w:r w:rsidRPr="00DD4714">
        <w:t xml:space="preserve"> and instrument host machines. The current system is clumsy because </w:t>
      </w:r>
      <w:r w:rsidR="00D12AA6" w:rsidRPr="00DD4714">
        <w:t xml:space="preserve">not </w:t>
      </w:r>
      <w:r w:rsidRPr="00DD4714">
        <w:t>all support and technical staff are aware of all the mailing l</w:t>
      </w:r>
      <w:r w:rsidR="00D12AA6" w:rsidRPr="00DD4714">
        <w:t xml:space="preserve">ists and </w:t>
      </w:r>
      <w:r w:rsidRPr="00B05A65">
        <w:rPr>
          <w:rFonts w:ascii="Courier New" w:hAnsi="Courier New"/>
          <w:sz w:val="20"/>
        </w:rPr>
        <w:t>.forward</w:t>
      </w:r>
      <w:r w:rsidRPr="00DD4714">
        <w:t xml:space="preserve"> files</w:t>
      </w:r>
      <w:r w:rsidR="00D12AA6" w:rsidRPr="00DD4714">
        <w:t>,</w:t>
      </w:r>
      <w:r w:rsidRPr="00DD4714">
        <w:t xml:space="preserve"> and </w:t>
      </w:r>
      <w:r w:rsidR="00D12AA6" w:rsidRPr="00DD4714">
        <w:t xml:space="preserve">they do not know </w:t>
      </w:r>
      <w:r w:rsidRPr="00DD4714">
        <w:t xml:space="preserve">how to access them. In addition, there is no commonality across the instruments, and there is no easy method for determining who will be forwarded a message unless you have access to the .forward files. </w:t>
      </w:r>
    </w:p>
    <w:bookmarkEnd w:id="0"/>
    <w:bookmarkEnd w:id="1"/>
    <w:p w:rsidR="00455F2A" w:rsidRPr="00DD4714" w:rsidRDefault="00455F2A" w:rsidP="00DD4714"/>
    <w:p w:rsidR="00455F2A" w:rsidRPr="00DD4714" w:rsidRDefault="00455F2A" w:rsidP="00DD4714">
      <w:r w:rsidRPr="00DD4714">
        <w:t xml:space="preserve">The proposed changes stem from discussion between a few Keck staff and UCO/Lick Observatory pertaining to DEIMOS specifically. It was proposed that there should be several mailing lists to which e-mail would be sent by </w:t>
      </w:r>
      <w:proofErr w:type="spellStart"/>
      <w:r w:rsidRPr="00DD4714">
        <w:t>cron</w:t>
      </w:r>
      <w:proofErr w:type="spellEnd"/>
      <w:r w:rsidRPr="00DD4714">
        <w:t xml:space="preserve"> jobs monitoring the status of the instruments. These mailing lists will have different alert levels. Three suggested levels of alarm and their usage are as follows:</w:t>
      </w:r>
    </w:p>
    <w:p w:rsidR="00455F2A" w:rsidRPr="00DD4714" w:rsidRDefault="00455F2A" w:rsidP="00DD4714"/>
    <w:p w:rsidR="00455F2A" w:rsidRPr="00DD4714" w:rsidRDefault="00455F2A" w:rsidP="00DD4714">
      <w:r w:rsidRPr="00DD4714">
        <w:t xml:space="preserve">1) </w:t>
      </w:r>
      <w:proofErr w:type="spellStart"/>
      <w:r w:rsidRPr="00DD4714">
        <w:t>instrument_info</w:t>
      </w:r>
      <w:proofErr w:type="spellEnd"/>
    </w:p>
    <w:p w:rsidR="00455F2A" w:rsidRPr="00DD4714" w:rsidRDefault="00455F2A" w:rsidP="00DD4714">
      <w:r w:rsidRPr="00DD4714">
        <w:t xml:space="preserve">        Usage:</w:t>
      </w:r>
      <w:r w:rsidR="00B05A65">
        <w:tab/>
      </w:r>
      <w:r w:rsidR="00B05A65">
        <w:tab/>
      </w:r>
      <w:r w:rsidRPr="00DD4714">
        <w:t>informational messages</w:t>
      </w:r>
    </w:p>
    <w:p w:rsidR="00455F2A" w:rsidRPr="00DD4714" w:rsidRDefault="00455F2A" w:rsidP="00DD4714">
      <w:r w:rsidRPr="00DD4714">
        <w:t xml:space="preserve">        Example:</w:t>
      </w:r>
      <w:r w:rsidR="00B05A65">
        <w:tab/>
      </w:r>
      <w:r w:rsidR="00B05A65">
        <w:tab/>
      </w:r>
      <w:r w:rsidRPr="00DD4714">
        <w:t xml:space="preserve">completion of </w:t>
      </w:r>
      <w:proofErr w:type="spellStart"/>
      <w:r w:rsidRPr="00DD4714">
        <w:t>cron</w:t>
      </w:r>
      <w:proofErr w:type="spellEnd"/>
      <w:r w:rsidRPr="00DD4714">
        <w:t xml:space="preserve"> jobs, etc.</w:t>
      </w:r>
    </w:p>
    <w:p w:rsidR="00455F2A" w:rsidRPr="00DD4714" w:rsidRDefault="00455F2A" w:rsidP="00DD4714">
      <w:r w:rsidRPr="00DD4714">
        <w:t xml:space="preserve">        Recipients:</w:t>
      </w:r>
      <w:r w:rsidR="00B05A65">
        <w:tab/>
      </w:r>
      <w:r w:rsidRPr="00DD4714">
        <w:t>support astronomers who support the instrument</w:t>
      </w:r>
    </w:p>
    <w:p w:rsidR="00455F2A" w:rsidRPr="00DD4714" w:rsidRDefault="00455F2A" w:rsidP="00DD4714">
      <w:pPr>
        <w:ind w:left="1440" w:firstLine="720"/>
      </w:pPr>
      <w:r w:rsidRPr="00DD4714">
        <w:t>Key mainland instrument team member</w:t>
      </w:r>
    </w:p>
    <w:p w:rsidR="00455F2A" w:rsidRPr="00DD4714" w:rsidRDefault="00455F2A" w:rsidP="00DD4714">
      <w:r w:rsidRPr="00DD4714">
        <w:t xml:space="preserve">                        </w:t>
      </w:r>
      <w:r w:rsidR="00B05A65">
        <w:tab/>
      </w:r>
      <w:r w:rsidRPr="00DD4714">
        <w:t>key software person</w:t>
      </w:r>
    </w:p>
    <w:p w:rsidR="00455F2A" w:rsidRPr="00DD4714" w:rsidRDefault="00455F2A" w:rsidP="00DD4714"/>
    <w:p w:rsidR="00455F2A" w:rsidRPr="00DD4714" w:rsidRDefault="00455F2A" w:rsidP="00DD4714">
      <w:r w:rsidRPr="00DD4714">
        <w:t xml:space="preserve">2) </w:t>
      </w:r>
      <w:proofErr w:type="spellStart"/>
      <w:r w:rsidRPr="00DD4714">
        <w:t>instrument_warning</w:t>
      </w:r>
      <w:proofErr w:type="spellEnd"/>
    </w:p>
    <w:p w:rsidR="00455F2A" w:rsidRPr="00DD4714" w:rsidRDefault="00455F2A" w:rsidP="00DD4714">
      <w:r w:rsidRPr="00DD4714">
        <w:t xml:space="preserve">        Usage:</w:t>
      </w:r>
      <w:r w:rsidR="00B05A65">
        <w:tab/>
      </w:r>
      <w:r w:rsidR="00B05A65">
        <w:tab/>
      </w:r>
      <w:r w:rsidRPr="00DD4714">
        <w:t>non-critical error messages</w:t>
      </w:r>
    </w:p>
    <w:p w:rsidR="00455F2A" w:rsidRPr="00DD4714" w:rsidRDefault="00455F2A" w:rsidP="00DD4714">
      <w:r w:rsidRPr="00DD4714">
        <w:t xml:space="preserve">        Example:</w:t>
      </w:r>
      <w:r w:rsidR="00B05A65">
        <w:tab/>
      </w:r>
      <w:r w:rsidR="00B05A65">
        <w:tab/>
      </w:r>
      <w:r w:rsidRPr="00DD4714">
        <w:t>CCD crate not reporting valid temperatures</w:t>
      </w:r>
    </w:p>
    <w:p w:rsidR="00455F2A" w:rsidRPr="00DD4714" w:rsidRDefault="00455F2A" w:rsidP="00DD4714">
      <w:r w:rsidRPr="00DD4714">
        <w:t xml:space="preserve">        Recipients:</w:t>
      </w:r>
      <w:r w:rsidR="00B05A65">
        <w:tab/>
      </w:r>
      <w:r w:rsidRPr="00DD4714">
        <w:t xml:space="preserve">All support astronomers </w:t>
      </w:r>
    </w:p>
    <w:p w:rsidR="00455F2A" w:rsidRPr="00DD4714" w:rsidRDefault="00455F2A" w:rsidP="00DD4714">
      <w:r w:rsidRPr="00DD4714">
        <w:t xml:space="preserve"> </w:t>
      </w:r>
      <w:r w:rsidRPr="00DD4714">
        <w:tab/>
      </w:r>
      <w:r w:rsidRPr="00DD4714">
        <w:tab/>
      </w:r>
      <w:r w:rsidRPr="00DD4714">
        <w:tab/>
        <w:t>Instrument techs/engineers</w:t>
      </w:r>
    </w:p>
    <w:p w:rsidR="00455F2A" w:rsidRPr="00DD4714" w:rsidRDefault="00455F2A" w:rsidP="00DD4714">
      <w:pPr>
        <w:ind w:left="1440" w:firstLine="720"/>
      </w:pPr>
      <w:r w:rsidRPr="00DD4714">
        <w:t>Key mainland instrument team member</w:t>
      </w:r>
    </w:p>
    <w:p w:rsidR="00455F2A" w:rsidRPr="00DD4714" w:rsidRDefault="00455F2A" w:rsidP="00DD4714">
      <w:r w:rsidRPr="00DD4714">
        <w:t xml:space="preserve">                        </w:t>
      </w:r>
      <w:r w:rsidR="00B05A65">
        <w:tab/>
      </w:r>
      <w:r w:rsidRPr="00DD4714">
        <w:t>CARA software group members</w:t>
      </w:r>
    </w:p>
    <w:p w:rsidR="00455F2A" w:rsidRPr="00DD4714" w:rsidRDefault="00455F2A" w:rsidP="00DD4714">
      <w:r w:rsidRPr="00DD4714">
        <w:lastRenderedPageBreak/>
        <w:tab/>
      </w:r>
      <w:r w:rsidRPr="00DD4714">
        <w:tab/>
      </w:r>
      <w:r w:rsidRPr="00DD4714">
        <w:tab/>
      </w:r>
      <w:r w:rsidRPr="00DD4714">
        <w:tab/>
      </w:r>
    </w:p>
    <w:p w:rsidR="00455F2A" w:rsidRPr="00DD4714" w:rsidRDefault="00455F2A" w:rsidP="00DD4714">
      <w:r w:rsidRPr="00DD4714">
        <w:t xml:space="preserve">3) </w:t>
      </w:r>
      <w:proofErr w:type="spellStart"/>
      <w:r w:rsidRPr="00DD4714">
        <w:t>instrument_alarm</w:t>
      </w:r>
      <w:proofErr w:type="spellEnd"/>
    </w:p>
    <w:p w:rsidR="00455F2A" w:rsidRPr="00DD4714" w:rsidRDefault="00455F2A" w:rsidP="00DD4714">
      <w:r w:rsidRPr="00DD4714">
        <w:t xml:space="preserve">        Usage:</w:t>
      </w:r>
      <w:r w:rsidR="00B05A65">
        <w:tab/>
      </w:r>
      <w:r w:rsidR="00B05A65">
        <w:tab/>
      </w:r>
      <w:r w:rsidR="00B05A65" w:rsidRPr="00DD4714">
        <w:t>c</w:t>
      </w:r>
      <w:r w:rsidRPr="00DD4714">
        <w:t>ritical alarm messages</w:t>
      </w:r>
    </w:p>
    <w:p w:rsidR="00455F2A" w:rsidRPr="00DD4714" w:rsidRDefault="00455F2A" w:rsidP="00DD4714">
      <w:r w:rsidRPr="00DD4714">
        <w:t xml:space="preserve">        Example:</w:t>
      </w:r>
      <w:r w:rsidR="00B05A65">
        <w:tab/>
      </w:r>
      <w:r w:rsidR="00B05A65">
        <w:tab/>
      </w:r>
      <w:r w:rsidR="0003549A" w:rsidRPr="00DD4714">
        <w:t>CCD power toggle off while exposing.</w:t>
      </w:r>
    </w:p>
    <w:p w:rsidR="00B05A65" w:rsidRPr="00DD4714" w:rsidRDefault="00455F2A" w:rsidP="00DD4714">
      <w:r w:rsidRPr="00DD4714">
        <w:t xml:space="preserve">        Recipients:</w:t>
      </w:r>
      <w:r w:rsidR="00B05A65">
        <w:tab/>
      </w:r>
      <w:r w:rsidRPr="00DD4714">
        <w:t>All support astronomers</w:t>
      </w:r>
    </w:p>
    <w:p w:rsidR="00455F2A" w:rsidRPr="00DD4714" w:rsidRDefault="00455F2A" w:rsidP="00DD4714">
      <w:pPr>
        <w:ind w:left="1440" w:firstLine="720"/>
      </w:pPr>
      <w:r w:rsidRPr="00DD4714">
        <w:t>instrument techs/engineers</w:t>
      </w:r>
    </w:p>
    <w:p w:rsidR="00455F2A" w:rsidRPr="00DD4714" w:rsidRDefault="00455F2A" w:rsidP="00DD4714">
      <w:r w:rsidRPr="00DD4714">
        <w:t xml:space="preserve">                        </w:t>
      </w:r>
      <w:r w:rsidR="00B05A65">
        <w:tab/>
      </w:r>
      <w:r w:rsidRPr="00DD4714">
        <w:t>CARA software group</w:t>
      </w:r>
    </w:p>
    <w:p w:rsidR="00455F2A" w:rsidRPr="00DD4714" w:rsidRDefault="00455F2A" w:rsidP="00DD4714">
      <w:r w:rsidRPr="00DD4714">
        <w:t xml:space="preserve">                        </w:t>
      </w:r>
      <w:r w:rsidR="00B05A65">
        <w:tab/>
      </w:r>
      <w:r w:rsidRPr="00DD4714">
        <w:t xml:space="preserve">telescope operators </w:t>
      </w:r>
    </w:p>
    <w:p w:rsidR="00455F2A" w:rsidRPr="00DD4714" w:rsidRDefault="00455F2A" w:rsidP="00DD4714">
      <w:r w:rsidRPr="00DD4714">
        <w:t xml:space="preserve">                        </w:t>
      </w:r>
      <w:r w:rsidR="00B05A65">
        <w:tab/>
      </w:r>
      <w:r w:rsidRPr="00DD4714">
        <w:t>Mainland instrument team members</w:t>
      </w:r>
    </w:p>
    <w:p w:rsidR="00455F2A" w:rsidRPr="00DD4714" w:rsidRDefault="00455F2A" w:rsidP="00DD4714"/>
    <w:p w:rsidR="00B05A65" w:rsidRPr="00DD4714" w:rsidRDefault="00455F2A" w:rsidP="00DD4714">
      <w:bookmarkStart w:id="2" w:name="OLE_LINK1"/>
      <w:bookmarkStart w:id="3" w:name="OLE_LINK2"/>
      <w:r w:rsidRPr="00DD4714">
        <w:t xml:space="preserve">The format of the mailing list will be all lower case with the instrument name followed by an underscore and the level of alert. For example: </w:t>
      </w:r>
      <w:proofErr w:type="spellStart"/>
      <w:r w:rsidRPr="00B05A65">
        <w:rPr>
          <w:rFonts w:ascii="Courier New" w:hAnsi="Courier New"/>
          <w:sz w:val="20"/>
        </w:rPr>
        <w:t>lris_info</w:t>
      </w:r>
      <w:proofErr w:type="spellEnd"/>
      <w:r w:rsidRPr="00DD4714">
        <w:t xml:space="preserve">, </w:t>
      </w:r>
      <w:proofErr w:type="spellStart"/>
      <w:r w:rsidRPr="00B05A65">
        <w:rPr>
          <w:rFonts w:ascii="Courier New" w:hAnsi="Courier New"/>
          <w:sz w:val="20"/>
        </w:rPr>
        <w:t>lris_warning</w:t>
      </w:r>
      <w:proofErr w:type="spellEnd"/>
      <w:r w:rsidRPr="00DD4714">
        <w:t xml:space="preserve">, and </w:t>
      </w:r>
      <w:proofErr w:type="spellStart"/>
      <w:r w:rsidRPr="00B05A65">
        <w:rPr>
          <w:rFonts w:ascii="Courier New" w:hAnsi="Courier New"/>
          <w:sz w:val="20"/>
        </w:rPr>
        <w:t>lris_alarm</w:t>
      </w:r>
      <w:proofErr w:type="spellEnd"/>
      <w:r w:rsidRPr="00DD4714">
        <w:t>. The lowest level of alert will be the “</w:t>
      </w:r>
      <w:r w:rsidRPr="00B05A65">
        <w:rPr>
          <w:rFonts w:ascii="Courier New" w:hAnsi="Courier New"/>
          <w:sz w:val="20"/>
        </w:rPr>
        <w:t>*_info</w:t>
      </w:r>
      <w:r w:rsidRPr="00DD4714">
        <w:t>” mailing list. The second level of alert</w:t>
      </w:r>
      <w:r>
        <w:t xml:space="preserve"> </w:t>
      </w:r>
      <w:r w:rsidR="00B05A65">
        <w:t>(“</w:t>
      </w:r>
      <w:r w:rsidR="00B05A65" w:rsidRPr="00B05A65">
        <w:rPr>
          <w:rFonts w:ascii="Courier New" w:hAnsi="Courier New"/>
          <w:sz w:val="20"/>
        </w:rPr>
        <w:t>*_warning</w:t>
      </w:r>
      <w:r w:rsidR="00B05A65">
        <w:t>”)</w:t>
      </w:r>
      <w:r w:rsidR="00B05A65" w:rsidRPr="00DD4714">
        <w:t xml:space="preserve"> </w:t>
      </w:r>
      <w:r w:rsidRPr="00DD4714">
        <w:t>will include the first level of alert plus a few additional contacts. The messages requiring the highest level of alert should be sent to “</w:t>
      </w:r>
      <w:r w:rsidRPr="00B05A65">
        <w:rPr>
          <w:rFonts w:ascii="Courier New" w:hAnsi="Courier New"/>
          <w:sz w:val="20"/>
        </w:rPr>
        <w:t>*_alarm</w:t>
      </w:r>
      <w:r w:rsidRPr="00DD4714">
        <w:t xml:space="preserve">” mailing list which will expand to all personnel capable of responding. </w:t>
      </w:r>
      <w:r w:rsidR="00B05A65">
        <w:t xml:space="preserve"> Appendix A shows the specific contents of each of the  distribution lists.</w:t>
      </w:r>
    </w:p>
    <w:p w:rsidR="00B05A65" w:rsidRDefault="00B05A65" w:rsidP="00455F2A">
      <w:pPr>
        <w:autoSpaceDE w:val="0"/>
        <w:autoSpaceDN w:val="0"/>
        <w:adjustRightInd w:val="0"/>
        <w:rPr>
          <w:rFonts w:ascii="Courier New" w:hAnsi="Courier New" w:cs="Courier New"/>
          <w:sz w:val="20"/>
          <w:szCs w:val="20"/>
        </w:rPr>
      </w:pPr>
    </w:p>
    <w:bookmarkEnd w:id="2"/>
    <w:bookmarkEnd w:id="3"/>
    <w:p w:rsidR="00455F2A" w:rsidRDefault="00455F2A" w:rsidP="00455F2A">
      <w:r>
        <w:t>As part of this effort, an “</w:t>
      </w:r>
      <w:proofErr w:type="spellStart"/>
      <w:r w:rsidRPr="00DD4714">
        <w:rPr>
          <w:rFonts w:ascii="Courier New" w:hAnsi="Courier New"/>
          <w:sz w:val="20"/>
        </w:rPr>
        <w:t>instrument_techs</w:t>
      </w:r>
      <w:proofErr w:type="spellEnd"/>
      <w:r>
        <w:t>” mailing address was created with the current instrument technicians</w:t>
      </w:r>
      <w:r w:rsidR="00B05A65">
        <w:t xml:space="preserve"> </w:t>
      </w:r>
      <w:r>
        <w:t>included in the list.</w:t>
      </w:r>
    </w:p>
    <w:p w:rsidR="00455F2A" w:rsidRDefault="00455F2A" w:rsidP="00455F2A"/>
    <w:p w:rsidR="00455F2A" w:rsidRDefault="00455F2A" w:rsidP="00455F2A">
      <w:r>
        <w:t xml:space="preserve">The domain for all the address lists will be </w:t>
      </w:r>
      <w:r w:rsidRPr="00DD4714">
        <w:rPr>
          <w:rFonts w:ascii="Courier New" w:hAnsi="Courier New"/>
          <w:sz w:val="20"/>
        </w:rPr>
        <w:t>keck.hawaii.edu</w:t>
      </w:r>
      <w:r>
        <w:t>.</w:t>
      </w:r>
    </w:p>
    <w:p w:rsidR="00455F2A" w:rsidRPr="00E573DA" w:rsidRDefault="00455F2A" w:rsidP="00DD4714">
      <w:pPr>
        <w:pStyle w:val="Heading2"/>
      </w:pPr>
      <w:r w:rsidRPr="00E573DA">
        <w:t>Modifying Address Lists:</w:t>
      </w:r>
    </w:p>
    <w:p w:rsidR="00455F2A" w:rsidRDefault="00B05A65" w:rsidP="00455F2A">
      <w:r>
        <w:t>Administrative Assistant Gloria Martin has been designated as the owner of the various instrument email lists in order to maintain them on behalf of the Support Astronomer team.  Please contact Gloria to request updates to any given list.</w:t>
      </w:r>
    </w:p>
    <w:p w:rsidR="00B05A65" w:rsidRDefault="00B05A65" w:rsidP="00455F2A"/>
    <w:p w:rsidR="00455F2A" w:rsidRPr="00E573DA" w:rsidRDefault="00455F2A" w:rsidP="00DD4714">
      <w:pPr>
        <w:pStyle w:val="Heading2"/>
      </w:pPr>
      <w:r w:rsidRPr="00E573DA">
        <w:t>Protoco</w:t>
      </w:r>
      <w:r w:rsidR="00D12AA6" w:rsidRPr="00E573DA">
        <w:t>l For Responding To I</w:t>
      </w:r>
      <w:r w:rsidRPr="00E573DA">
        <w:t>nstrument E-mails:</w:t>
      </w:r>
    </w:p>
    <w:p w:rsidR="00B05A65" w:rsidRDefault="00455F2A" w:rsidP="00455F2A">
      <w:r>
        <w:t>In responding to warnings and alarms, it is advised that first responders initially reply to indicate to the rest of the recipients that someone is following up on the e-mail. If an e-mail has not yet been sent, assume that no one addressing the problem and take appropriate action. Appropriate action may be simply to notify the instrument master or secondary master that there is an instrument related issue. Second</w:t>
      </w:r>
      <w:r w:rsidR="00B05A65">
        <w:t>,</w:t>
      </w:r>
      <w:r>
        <w:t xml:space="preserve"> take appropriate action as directed, and then when the task was handled, reply to the initial email notifying staff that the problem was handled and inform staff of the solution.</w:t>
      </w:r>
    </w:p>
    <w:p w:rsidR="00455F2A" w:rsidRPr="00DD4714" w:rsidRDefault="00B05A65" w:rsidP="00DD4714">
      <w:pPr>
        <w:pStyle w:val="Heading2"/>
      </w:pPr>
      <w:r w:rsidRPr="00DD4714">
        <w:br w:type="page"/>
      </w:r>
      <w:r w:rsidRPr="00DD4714">
        <w:rPr>
          <w:rStyle w:val="Strong"/>
          <w:b/>
          <w:bCs/>
        </w:rPr>
        <w:lastRenderedPageBreak/>
        <w:t>Appendix</w:t>
      </w:r>
      <w:r w:rsidRPr="00DD4714">
        <w:t xml:space="preserve"> A: Contents of Instrument Email Distribution Lists</w:t>
      </w:r>
    </w:p>
    <w:p w:rsidR="006F75EC" w:rsidRDefault="006F75EC" w:rsidP="006F75EC">
      <w:r>
        <w:t>The table below lists the proposed composition of each email distribution list, which conforms to the principles described above.  Please note the following:</w:t>
      </w:r>
    </w:p>
    <w:p w:rsidR="006F75EC" w:rsidRDefault="006F75EC" w:rsidP="006F75EC">
      <w:pPr>
        <w:numPr>
          <w:ilvl w:val="0"/>
          <w:numId w:val="2"/>
        </w:numPr>
      </w:pPr>
      <w:r>
        <w:t>pink-shaded columns indicate groups</w:t>
      </w:r>
    </w:p>
    <w:p w:rsidR="006F75EC" w:rsidRDefault="006F75EC" w:rsidP="006F75EC">
      <w:pPr>
        <w:numPr>
          <w:ilvl w:val="0"/>
          <w:numId w:val="2"/>
        </w:numPr>
      </w:pPr>
      <w:r>
        <w:t>yellow columns are individual SAs</w:t>
      </w:r>
    </w:p>
    <w:p w:rsidR="006F75EC" w:rsidRDefault="006F75EC" w:rsidP="006F75EC">
      <w:pPr>
        <w:numPr>
          <w:ilvl w:val="0"/>
          <w:numId w:val="2"/>
        </w:numPr>
      </w:pPr>
      <w:r>
        <w:t>green columns are non-SA individuals within Keck</w:t>
      </w:r>
    </w:p>
    <w:p w:rsidR="006F75EC" w:rsidRDefault="006F75EC" w:rsidP="006F75EC">
      <w:pPr>
        <w:numPr>
          <w:ilvl w:val="0"/>
          <w:numId w:val="2"/>
        </w:numPr>
      </w:pPr>
      <w:r>
        <w:t>purple is an external distribution list</w:t>
      </w:r>
    </w:p>
    <w:p w:rsidR="006F75EC" w:rsidRDefault="006F75EC" w:rsidP="006F75EC">
      <w:r>
        <w:t>An "x" in a particular box means that the person or group for that column is included in the distribution list named on that row. For example, the "x" under the "</w:t>
      </w:r>
      <w:r w:rsidRPr="006F75EC">
        <w:rPr>
          <w:rFonts w:ascii="Courier New" w:hAnsi="Courier New"/>
          <w:sz w:val="20"/>
        </w:rPr>
        <w:t>_info</w:t>
      </w:r>
      <w:r>
        <w:t>" column in the row for "</w:t>
      </w:r>
      <w:proofErr w:type="spellStart"/>
      <w:r w:rsidRPr="006F75EC">
        <w:rPr>
          <w:rFonts w:ascii="Courier New" w:hAnsi="Courier New"/>
          <w:sz w:val="20"/>
        </w:rPr>
        <w:t>deimos_warnings</w:t>
      </w:r>
      <w:proofErr w:type="spellEnd"/>
      <w:r>
        <w:t>" indicates that the "</w:t>
      </w:r>
      <w:proofErr w:type="spellStart"/>
      <w:r w:rsidRPr="006F75EC">
        <w:rPr>
          <w:rFonts w:ascii="Courier New" w:hAnsi="Courier New"/>
          <w:sz w:val="20"/>
        </w:rPr>
        <w:t>deimos_warnings</w:t>
      </w:r>
      <w:proofErr w:type="spellEnd"/>
      <w:r>
        <w:t>" DL will include</w:t>
      </w:r>
    </w:p>
    <w:p w:rsidR="006F75EC" w:rsidRDefault="006F75EC" w:rsidP="006F75EC">
      <w:r>
        <w:t>all members of the "</w:t>
      </w:r>
      <w:proofErr w:type="spellStart"/>
      <w:r w:rsidRPr="006F75EC">
        <w:rPr>
          <w:rFonts w:ascii="Courier New" w:hAnsi="Courier New"/>
          <w:sz w:val="20"/>
        </w:rPr>
        <w:t>deimos_info</w:t>
      </w:r>
      <w:proofErr w:type="spellEnd"/>
      <w:r>
        <w:t>" DL by default.</w:t>
      </w:r>
    </w:p>
    <w:p w:rsidR="006F75EC" w:rsidRDefault="006F75EC" w:rsidP="006F75EC"/>
    <w:p w:rsidR="00175AD5" w:rsidRDefault="00175AD5" w:rsidP="006F75EC">
      <w:pPr>
        <w:sectPr w:rsidR="00175AD5">
          <w:headerReference w:type="default" r:id="rId9"/>
          <w:pgSz w:w="12240" w:h="15840"/>
          <w:pgMar w:top="1440" w:right="1800" w:bottom="1440" w:left="1800" w:header="720" w:footer="720" w:gutter="0"/>
          <w:cols w:space="720"/>
          <w:docGrid w:linePitch="360"/>
        </w:sectPr>
      </w:pPr>
    </w:p>
    <w:bookmarkStart w:id="4" w:name="_GoBack"/>
    <w:bookmarkStart w:id="5" w:name="_MON_1416834125"/>
    <w:bookmarkEnd w:id="5"/>
    <w:p w:rsidR="006F75EC" w:rsidRDefault="005E3AE0" w:rsidP="00DD4714">
      <w:pPr>
        <w:jc w:val="center"/>
      </w:pPr>
      <w:r>
        <w:rPr>
          <w:rFonts w:ascii="Lucida Console" w:hAnsi="Lucida Console"/>
        </w:rPr>
        <w:object w:dxaOrig="16571" w:dyaOrig="84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30.75pt;height:323.25pt" o:ole="">
            <v:imagedata r:id="rId10" o:title=""/>
          </v:shape>
          <o:OLEObject Type="Embed" ProgID="Excel.Sheet.8" ShapeID="_x0000_i1027" DrawAspect="Content" ObjectID="_1417283999" r:id="rId11"/>
        </w:object>
      </w:r>
      <w:bookmarkEnd w:id="4"/>
    </w:p>
    <w:sectPr w:rsidR="006F75EC" w:rsidSect="00DD4714">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3DA" w:rsidRDefault="00E573DA">
      <w:r>
        <w:separator/>
      </w:r>
    </w:p>
  </w:endnote>
  <w:endnote w:type="continuationSeparator" w:id="0">
    <w:p w:rsidR="00E573DA" w:rsidRDefault="00E573DA">
      <w:r>
        <w:continuationSeparator/>
      </w:r>
    </w:p>
  </w:endnote>
  <w:endnote w:type="continuationNotice" w:id="1">
    <w:p w:rsidR="00E573DA" w:rsidRDefault="00E573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TechnicBold">
    <w:panose1 w:val="00000400000000000000"/>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3DA" w:rsidRDefault="00E573DA">
      <w:r>
        <w:separator/>
      </w:r>
    </w:p>
  </w:footnote>
  <w:footnote w:type="continuationSeparator" w:id="0">
    <w:p w:rsidR="00E573DA" w:rsidRDefault="00E573DA">
      <w:r>
        <w:continuationSeparator/>
      </w:r>
    </w:p>
  </w:footnote>
  <w:footnote w:type="continuationNotice" w:id="1">
    <w:p w:rsidR="00E573DA" w:rsidRDefault="00E573D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6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80"/>
      <w:gridCol w:w="3060"/>
      <w:gridCol w:w="3240"/>
      <w:gridCol w:w="1260"/>
    </w:tblGrid>
    <w:tr w:rsidR="006F75EC" w:rsidTr="00DD4714">
      <w:tc>
        <w:tcPr>
          <w:tcW w:w="1080" w:type="dxa"/>
          <w:vMerge w:val="restart"/>
        </w:tcPr>
        <w:p w:rsidR="006F75EC" w:rsidRDefault="005A2785" w:rsidP="006B77EE">
          <w:pPr>
            <w:jc w:val="center"/>
            <w:rPr>
              <w:sz w:val="48"/>
              <w:szCs w:val="48"/>
            </w:rPr>
          </w:pPr>
          <w:r>
            <w:rPr>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0.25pt">
                <v:imagedata r:id="rId1" o:title="b-cat"/>
              </v:shape>
            </w:pict>
          </w:r>
        </w:p>
      </w:tc>
      <w:tc>
        <w:tcPr>
          <w:tcW w:w="6300" w:type="dxa"/>
          <w:gridSpan w:val="2"/>
        </w:tcPr>
        <w:p w:rsidR="006F75EC" w:rsidRPr="00EB4FA2" w:rsidRDefault="006F75EC" w:rsidP="006B77EE">
          <w:pPr>
            <w:jc w:val="center"/>
            <w:rPr>
              <w:rFonts w:ascii="TechnicBold" w:hAnsi="TechnicBold"/>
              <w:sz w:val="40"/>
              <w:szCs w:val="40"/>
            </w:rPr>
          </w:pPr>
          <w:r w:rsidRPr="00EB4FA2">
            <w:rPr>
              <w:rFonts w:ascii="TechnicBold" w:hAnsi="TechnicBold"/>
              <w:sz w:val="40"/>
              <w:szCs w:val="40"/>
            </w:rPr>
            <w:t></w:t>
          </w:r>
          <w:r w:rsidRPr="00EB4FA2">
            <w:rPr>
              <w:rFonts w:ascii="TechnicBold" w:hAnsi="TechnicBold"/>
              <w:sz w:val="40"/>
              <w:szCs w:val="40"/>
            </w:rPr>
            <w:t></w:t>
          </w:r>
          <w:r w:rsidRPr="00EB4FA2">
            <w:rPr>
              <w:rFonts w:ascii="TechnicBold" w:hAnsi="TechnicBold"/>
              <w:sz w:val="40"/>
              <w:szCs w:val="40"/>
            </w:rPr>
            <w:t></w:t>
          </w:r>
          <w:r w:rsidRPr="00EB4FA2">
            <w:rPr>
              <w:rFonts w:ascii="TechnicBold" w:hAnsi="TechnicBold"/>
              <w:sz w:val="40"/>
              <w:szCs w:val="40"/>
            </w:rPr>
            <w:t></w:t>
          </w:r>
          <w:r w:rsidRPr="00EB4FA2">
            <w:rPr>
              <w:rFonts w:ascii="TechnicBold" w:hAnsi="TechnicBold"/>
              <w:sz w:val="40"/>
              <w:szCs w:val="40"/>
            </w:rPr>
            <w:t></w:t>
          </w:r>
          <w:r w:rsidRPr="00EB4FA2">
            <w:rPr>
              <w:rFonts w:ascii="TechnicBold" w:hAnsi="TechnicBold"/>
              <w:sz w:val="40"/>
              <w:szCs w:val="40"/>
            </w:rPr>
            <w:t></w:t>
          </w:r>
          <w:r w:rsidRPr="00EB4FA2">
            <w:rPr>
              <w:rFonts w:ascii="TechnicBold" w:hAnsi="TechnicBold"/>
              <w:sz w:val="40"/>
              <w:szCs w:val="40"/>
            </w:rPr>
            <w:t></w:t>
          </w:r>
          <w:r w:rsidRPr="00EB4FA2">
            <w:rPr>
              <w:rFonts w:ascii="TechnicBold" w:hAnsi="TechnicBold"/>
              <w:sz w:val="40"/>
              <w:szCs w:val="40"/>
            </w:rPr>
            <w:t></w:t>
          </w:r>
          <w:r w:rsidRPr="00EB4FA2">
            <w:rPr>
              <w:rFonts w:ascii="TechnicBold" w:hAnsi="TechnicBold"/>
              <w:sz w:val="40"/>
              <w:szCs w:val="40"/>
            </w:rPr>
            <w:t></w:t>
          </w:r>
          <w:r w:rsidRPr="00EB4FA2">
            <w:rPr>
              <w:rFonts w:ascii="TechnicBold" w:hAnsi="TechnicBold"/>
              <w:sz w:val="40"/>
              <w:szCs w:val="40"/>
            </w:rPr>
            <w:t></w:t>
          </w:r>
          <w:r w:rsidRPr="00EB4FA2">
            <w:rPr>
              <w:rFonts w:ascii="TechnicBold" w:hAnsi="TechnicBold"/>
              <w:sz w:val="40"/>
              <w:szCs w:val="40"/>
            </w:rPr>
            <w:t></w:t>
          </w:r>
          <w:r w:rsidRPr="00EB4FA2">
            <w:rPr>
              <w:rFonts w:ascii="TechnicBold" w:hAnsi="TechnicBold"/>
              <w:sz w:val="40"/>
              <w:szCs w:val="40"/>
            </w:rPr>
            <w:t></w:t>
          </w:r>
          <w:r w:rsidRPr="00EB4FA2">
            <w:rPr>
              <w:rFonts w:ascii="TechnicBold" w:hAnsi="TechnicBold"/>
              <w:sz w:val="40"/>
              <w:szCs w:val="40"/>
            </w:rPr>
            <w:t></w:t>
          </w:r>
          <w:r w:rsidRPr="00EB4FA2">
            <w:rPr>
              <w:rFonts w:ascii="TechnicBold" w:hAnsi="TechnicBold"/>
              <w:sz w:val="40"/>
              <w:szCs w:val="40"/>
            </w:rPr>
            <w:t></w:t>
          </w:r>
          <w:r w:rsidRPr="00EB4FA2">
            <w:rPr>
              <w:rFonts w:ascii="TechnicBold" w:hAnsi="TechnicBold"/>
              <w:sz w:val="40"/>
              <w:szCs w:val="40"/>
            </w:rPr>
            <w:t></w:t>
          </w:r>
          <w:r w:rsidRPr="00EB4FA2">
            <w:rPr>
              <w:rFonts w:ascii="TechnicBold" w:hAnsi="TechnicBold"/>
              <w:sz w:val="40"/>
              <w:szCs w:val="40"/>
            </w:rPr>
            <w:t></w:t>
          </w:r>
          <w:r w:rsidRPr="00EB4FA2">
            <w:rPr>
              <w:rFonts w:ascii="TechnicBold" w:hAnsi="TechnicBold"/>
              <w:sz w:val="40"/>
              <w:szCs w:val="40"/>
            </w:rPr>
            <w:t></w:t>
          </w:r>
          <w:r w:rsidRPr="00EB4FA2">
            <w:rPr>
              <w:rFonts w:ascii="TechnicBold" w:hAnsi="TechnicBold"/>
              <w:sz w:val="40"/>
              <w:szCs w:val="40"/>
            </w:rPr>
            <w:t></w:t>
          </w:r>
          <w:r w:rsidRPr="00EB4FA2">
            <w:rPr>
              <w:rFonts w:ascii="TechnicBold" w:hAnsi="TechnicBold"/>
              <w:sz w:val="40"/>
              <w:szCs w:val="40"/>
            </w:rPr>
            <w:t></w:t>
          </w:r>
          <w:r w:rsidRPr="00EB4FA2">
            <w:rPr>
              <w:rFonts w:ascii="TechnicBold" w:hAnsi="TechnicBold"/>
              <w:sz w:val="40"/>
              <w:szCs w:val="40"/>
            </w:rPr>
            <w:t></w:t>
          </w:r>
          <w:r w:rsidRPr="00EB4FA2">
            <w:rPr>
              <w:rFonts w:ascii="TechnicBold" w:hAnsi="TechnicBold"/>
              <w:sz w:val="40"/>
              <w:szCs w:val="40"/>
            </w:rPr>
            <w:t></w:t>
          </w:r>
          <w:r w:rsidRPr="00EB4FA2">
            <w:rPr>
              <w:rFonts w:ascii="TechnicBold" w:hAnsi="TechnicBold"/>
              <w:sz w:val="40"/>
              <w:szCs w:val="40"/>
            </w:rPr>
            <w:t></w:t>
          </w:r>
          <w:r w:rsidRPr="00EB4FA2">
            <w:rPr>
              <w:rFonts w:ascii="TechnicBold" w:hAnsi="TechnicBold"/>
              <w:sz w:val="40"/>
              <w:szCs w:val="40"/>
            </w:rPr>
            <w:t></w:t>
          </w:r>
          <w:r w:rsidRPr="00EB4FA2">
            <w:rPr>
              <w:rFonts w:ascii="TechnicBold" w:hAnsi="TechnicBold"/>
              <w:sz w:val="40"/>
              <w:szCs w:val="40"/>
            </w:rPr>
            <w:t></w:t>
          </w:r>
          <w:r w:rsidRPr="00EB4FA2">
            <w:rPr>
              <w:rFonts w:ascii="TechnicBold" w:hAnsi="TechnicBold"/>
              <w:sz w:val="40"/>
              <w:szCs w:val="40"/>
            </w:rPr>
            <w:t></w:t>
          </w:r>
          <w:r w:rsidRPr="00EB4FA2">
            <w:rPr>
              <w:rFonts w:ascii="TechnicBold" w:hAnsi="TechnicBold"/>
              <w:sz w:val="40"/>
              <w:szCs w:val="40"/>
            </w:rPr>
            <w:t></w:t>
          </w:r>
          <w:r w:rsidRPr="00EB4FA2">
            <w:rPr>
              <w:rFonts w:ascii="TechnicBold" w:hAnsi="TechnicBold"/>
              <w:sz w:val="40"/>
              <w:szCs w:val="40"/>
            </w:rPr>
            <w:t></w:t>
          </w:r>
          <w:r w:rsidRPr="00EB4FA2">
            <w:rPr>
              <w:rFonts w:ascii="TechnicBold" w:hAnsi="TechnicBold"/>
              <w:sz w:val="40"/>
              <w:szCs w:val="40"/>
            </w:rPr>
            <w:t></w:t>
          </w:r>
          <w:r w:rsidRPr="00EB4FA2">
            <w:rPr>
              <w:rFonts w:ascii="TechnicBold" w:hAnsi="TechnicBold"/>
              <w:sz w:val="40"/>
              <w:szCs w:val="40"/>
            </w:rPr>
            <w:t></w:t>
          </w:r>
          <w:r w:rsidRPr="00EB4FA2">
            <w:rPr>
              <w:rFonts w:ascii="TechnicBold" w:hAnsi="TechnicBold"/>
              <w:sz w:val="40"/>
              <w:szCs w:val="40"/>
            </w:rPr>
            <w:t></w:t>
          </w:r>
        </w:p>
      </w:tc>
      <w:tc>
        <w:tcPr>
          <w:tcW w:w="1260" w:type="dxa"/>
          <w:vMerge w:val="restart"/>
        </w:tcPr>
        <w:p w:rsidR="006F75EC" w:rsidRDefault="005A2785" w:rsidP="006B77EE">
          <w:pPr>
            <w:jc w:val="center"/>
            <w:rPr>
              <w:sz w:val="48"/>
              <w:szCs w:val="48"/>
            </w:rPr>
          </w:pPr>
          <w:r>
            <w:pict>
              <v:shape id="_x0000_i1026" type="#_x0000_t75" style="width:46.5pt;height:42pt">
                <v:imagedata r:id="rId2" o:title="KECKsymbolLG_GRAY"/>
              </v:shape>
            </w:pict>
          </w:r>
        </w:p>
      </w:tc>
    </w:tr>
    <w:tr w:rsidR="006F75EC" w:rsidTr="00DD4714">
      <w:tc>
        <w:tcPr>
          <w:tcW w:w="1080" w:type="dxa"/>
          <w:vMerge/>
        </w:tcPr>
        <w:p w:rsidR="006F75EC" w:rsidRDefault="006F75EC" w:rsidP="006B77EE">
          <w:pPr>
            <w:jc w:val="center"/>
            <w:rPr>
              <w:sz w:val="48"/>
              <w:szCs w:val="48"/>
            </w:rPr>
          </w:pPr>
        </w:p>
      </w:tc>
      <w:tc>
        <w:tcPr>
          <w:tcW w:w="3060" w:type="dxa"/>
        </w:tcPr>
        <w:p w:rsidR="006F75EC" w:rsidRPr="00EB4FA2" w:rsidRDefault="006F75EC" w:rsidP="006B77EE">
          <w:pPr>
            <w:jc w:val="center"/>
            <w:rPr>
              <w:rFonts w:ascii="TechnicBold" w:hAnsi="TechnicBold"/>
              <w:sz w:val="40"/>
              <w:szCs w:val="40"/>
            </w:rPr>
          </w:pPr>
          <w:r w:rsidRPr="00EB4FA2">
            <w:rPr>
              <w:rFonts w:ascii="TechnicBold" w:hAnsi="TechnicBold"/>
              <w:sz w:val="40"/>
              <w:szCs w:val="40"/>
            </w:rPr>
            <w:t></w:t>
          </w:r>
          <w:r w:rsidRPr="00EB4FA2">
            <w:rPr>
              <w:rFonts w:ascii="TechnicBold" w:hAnsi="TechnicBold"/>
              <w:sz w:val="40"/>
              <w:szCs w:val="40"/>
            </w:rPr>
            <w:t></w:t>
          </w:r>
          <w:r w:rsidRPr="00EB4FA2">
            <w:rPr>
              <w:rFonts w:ascii="TechnicBold" w:hAnsi="TechnicBold"/>
              <w:sz w:val="40"/>
              <w:szCs w:val="40"/>
            </w:rPr>
            <w:t></w:t>
          </w:r>
          <w:r w:rsidRPr="00EB4FA2">
            <w:rPr>
              <w:rFonts w:ascii="TechnicBold" w:hAnsi="TechnicBold"/>
              <w:sz w:val="40"/>
              <w:szCs w:val="40"/>
            </w:rPr>
            <w:t></w:t>
          </w:r>
          <w:r w:rsidRPr="00EB4FA2">
            <w:rPr>
              <w:rFonts w:ascii="TechnicBold" w:hAnsi="TechnicBold"/>
              <w:sz w:val="40"/>
              <w:szCs w:val="40"/>
            </w:rPr>
            <w:t></w:t>
          </w:r>
          <w:r w:rsidRPr="00EB4FA2">
            <w:rPr>
              <w:rFonts w:ascii="TechnicBold" w:hAnsi="TechnicBold"/>
              <w:sz w:val="40"/>
              <w:szCs w:val="40"/>
            </w:rPr>
            <w:t></w:t>
          </w:r>
          <w:r>
            <w:rPr>
              <w:rFonts w:ascii="TechnicBold" w:hAnsi="TechnicBold"/>
              <w:sz w:val="40"/>
              <w:szCs w:val="40"/>
            </w:rPr>
            <w:t></w:t>
          </w:r>
          <w:r>
            <w:rPr>
              <w:rFonts w:ascii="TechnicBold" w:hAnsi="TechnicBold"/>
              <w:sz w:val="40"/>
              <w:szCs w:val="40"/>
            </w:rPr>
            <w:t></w:t>
          </w:r>
          <w:r>
            <w:rPr>
              <w:rFonts w:ascii="TechnicBold" w:hAnsi="TechnicBold"/>
              <w:sz w:val="40"/>
              <w:szCs w:val="40"/>
            </w:rPr>
            <w:t></w:t>
          </w:r>
          <w:r>
            <w:rPr>
              <w:rFonts w:ascii="TechnicBold" w:hAnsi="TechnicBold"/>
              <w:sz w:val="40"/>
              <w:szCs w:val="40"/>
            </w:rPr>
            <w:t></w:t>
          </w:r>
        </w:p>
      </w:tc>
      <w:tc>
        <w:tcPr>
          <w:tcW w:w="3240" w:type="dxa"/>
        </w:tcPr>
        <w:p w:rsidR="006F75EC" w:rsidRPr="00EB4FA2" w:rsidRDefault="006F75EC" w:rsidP="006B77EE">
          <w:pPr>
            <w:jc w:val="center"/>
            <w:rPr>
              <w:rFonts w:ascii="TechnicBold" w:hAnsi="TechnicBold"/>
              <w:sz w:val="40"/>
              <w:szCs w:val="40"/>
            </w:rPr>
          </w:pPr>
          <w:r w:rsidRPr="00EB4FA2">
            <w:rPr>
              <w:rFonts w:ascii="TechnicBold" w:hAnsi="TechnicBold"/>
              <w:sz w:val="40"/>
              <w:szCs w:val="40"/>
            </w:rPr>
            <w:t></w:t>
          </w:r>
          <w:r w:rsidRPr="00EB4FA2">
            <w:rPr>
              <w:rFonts w:ascii="TechnicBold" w:hAnsi="TechnicBold"/>
              <w:sz w:val="40"/>
              <w:szCs w:val="40"/>
            </w:rPr>
            <w:t></w:t>
          </w:r>
          <w:r w:rsidRPr="00EB4FA2">
            <w:rPr>
              <w:rFonts w:ascii="TechnicBold" w:hAnsi="TechnicBold"/>
              <w:sz w:val="40"/>
              <w:szCs w:val="40"/>
            </w:rPr>
            <w:t></w:t>
          </w:r>
          <w:r w:rsidRPr="00EB4FA2">
            <w:rPr>
              <w:rFonts w:ascii="TechnicBold" w:hAnsi="TechnicBold"/>
              <w:sz w:val="40"/>
              <w:szCs w:val="40"/>
            </w:rPr>
            <w:t></w:t>
          </w:r>
          <w:r w:rsidRPr="00EB4FA2">
            <w:rPr>
              <w:rFonts w:ascii="TechnicBold" w:hAnsi="TechnicBold"/>
              <w:sz w:val="40"/>
              <w:szCs w:val="40"/>
            </w:rPr>
            <w:t></w:t>
          </w:r>
          <w:r w:rsidRPr="00EB4FA2">
            <w:rPr>
              <w:rStyle w:val="PageNumber"/>
              <w:rFonts w:ascii="TechnicBold" w:hAnsi="TechnicBold"/>
            </w:rPr>
            <w:fldChar w:fldCharType="begin"/>
          </w:r>
          <w:r w:rsidRPr="00EB4FA2">
            <w:rPr>
              <w:rStyle w:val="PageNumber"/>
              <w:rFonts w:ascii="TechnicBold" w:hAnsi="TechnicBold"/>
            </w:rPr>
            <w:instrText xml:space="preserve"> PAGE </w:instrText>
          </w:r>
          <w:r w:rsidRPr="00EB4FA2">
            <w:rPr>
              <w:rStyle w:val="PageNumber"/>
              <w:rFonts w:ascii="TechnicBold" w:hAnsi="TechnicBold"/>
            </w:rPr>
            <w:fldChar w:fldCharType="separate"/>
          </w:r>
          <w:r w:rsidR="005A2785">
            <w:rPr>
              <w:rStyle w:val="PageNumber"/>
              <w:rFonts w:ascii="TechnicBold" w:hAnsi="TechnicBold"/>
              <w:noProof/>
            </w:rPr>
            <w:t>4</w:t>
          </w:r>
          <w:r w:rsidRPr="00EB4FA2">
            <w:rPr>
              <w:rStyle w:val="PageNumber"/>
              <w:rFonts w:ascii="TechnicBold" w:hAnsi="TechnicBold"/>
            </w:rPr>
            <w:fldChar w:fldCharType="end"/>
          </w:r>
          <w:r w:rsidRPr="00EB4FA2">
            <w:rPr>
              <w:rStyle w:val="PageNumber"/>
              <w:rFonts w:ascii="TechnicBold" w:hAnsi="TechnicBold"/>
            </w:rPr>
            <w:t></w:t>
          </w:r>
          <w:r w:rsidRPr="00EB4FA2">
            <w:rPr>
              <w:rStyle w:val="PageNumber"/>
              <w:rFonts w:ascii="TechnicBold" w:hAnsi="TechnicBold"/>
            </w:rPr>
            <w:t></w:t>
          </w:r>
          <w:r w:rsidRPr="00EB4FA2">
            <w:rPr>
              <w:rStyle w:val="PageNumber"/>
              <w:rFonts w:ascii="TechnicBold" w:hAnsi="TechnicBold"/>
            </w:rPr>
            <w:t></w:t>
          </w:r>
          <w:r w:rsidRPr="00EB4FA2">
            <w:rPr>
              <w:rStyle w:val="PageNumber"/>
              <w:rFonts w:ascii="TechnicBold" w:hAnsi="TechnicBold"/>
            </w:rPr>
            <w:t></w:t>
          </w:r>
          <w:r w:rsidRPr="00EB4FA2">
            <w:rPr>
              <w:rStyle w:val="PageNumber"/>
              <w:rFonts w:ascii="TechnicBold" w:hAnsi="TechnicBold"/>
            </w:rPr>
            <w:fldChar w:fldCharType="begin"/>
          </w:r>
          <w:r w:rsidRPr="00EB4FA2">
            <w:rPr>
              <w:rStyle w:val="PageNumber"/>
              <w:rFonts w:ascii="TechnicBold" w:hAnsi="TechnicBold"/>
            </w:rPr>
            <w:instrText xml:space="preserve"> NUMPAGES </w:instrText>
          </w:r>
          <w:r w:rsidRPr="00EB4FA2">
            <w:rPr>
              <w:rStyle w:val="PageNumber"/>
              <w:rFonts w:ascii="TechnicBold" w:hAnsi="TechnicBold"/>
            </w:rPr>
            <w:fldChar w:fldCharType="separate"/>
          </w:r>
          <w:r w:rsidR="005A2785">
            <w:rPr>
              <w:rStyle w:val="PageNumber"/>
              <w:rFonts w:ascii="TechnicBold" w:hAnsi="TechnicBold"/>
              <w:noProof/>
            </w:rPr>
            <w:t>4</w:t>
          </w:r>
          <w:r w:rsidRPr="00EB4FA2">
            <w:rPr>
              <w:rStyle w:val="PageNumber"/>
              <w:rFonts w:ascii="TechnicBold" w:hAnsi="TechnicBold"/>
            </w:rPr>
            <w:fldChar w:fldCharType="end"/>
          </w:r>
        </w:p>
      </w:tc>
      <w:tc>
        <w:tcPr>
          <w:tcW w:w="1260" w:type="dxa"/>
          <w:vMerge/>
        </w:tcPr>
        <w:p w:rsidR="006F75EC" w:rsidRDefault="006F75EC" w:rsidP="006B77EE">
          <w:pPr>
            <w:jc w:val="center"/>
            <w:rPr>
              <w:sz w:val="48"/>
              <w:szCs w:val="48"/>
            </w:rPr>
          </w:pPr>
        </w:p>
      </w:tc>
    </w:tr>
  </w:tbl>
  <w:p w:rsidR="006F75EC" w:rsidRPr="009C6406" w:rsidRDefault="006F75EC" w:rsidP="00EB4FA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9561F"/>
    <w:multiLevelType w:val="hybridMultilevel"/>
    <w:tmpl w:val="529CB6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3D9384D"/>
    <w:multiLevelType w:val="hybridMultilevel"/>
    <w:tmpl w:val="1DA21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6147"/>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C4D62"/>
    <w:rsid w:val="0003549A"/>
    <w:rsid w:val="000B7B5C"/>
    <w:rsid w:val="0010705A"/>
    <w:rsid w:val="00175AD5"/>
    <w:rsid w:val="00177EC7"/>
    <w:rsid w:val="00281C41"/>
    <w:rsid w:val="002B4B7B"/>
    <w:rsid w:val="00312142"/>
    <w:rsid w:val="003A5473"/>
    <w:rsid w:val="00447278"/>
    <w:rsid w:val="00455F2A"/>
    <w:rsid w:val="00483A63"/>
    <w:rsid w:val="004873A5"/>
    <w:rsid w:val="004C61FF"/>
    <w:rsid w:val="00501220"/>
    <w:rsid w:val="005029BF"/>
    <w:rsid w:val="005A2785"/>
    <w:rsid w:val="005C4D62"/>
    <w:rsid w:val="005E3AE0"/>
    <w:rsid w:val="006265D4"/>
    <w:rsid w:val="006622B3"/>
    <w:rsid w:val="00675AFE"/>
    <w:rsid w:val="006B77EE"/>
    <w:rsid w:val="006F75EC"/>
    <w:rsid w:val="00750F68"/>
    <w:rsid w:val="00782BAC"/>
    <w:rsid w:val="00797E2B"/>
    <w:rsid w:val="007A21D5"/>
    <w:rsid w:val="008135EE"/>
    <w:rsid w:val="00821879"/>
    <w:rsid w:val="00881B44"/>
    <w:rsid w:val="009B47EC"/>
    <w:rsid w:val="009C6406"/>
    <w:rsid w:val="00A13A17"/>
    <w:rsid w:val="00AC6847"/>
    <w:rsid w:val="00B05A65"/>
    <w:rsid w:val="00CE4F47"/>
    <w:rsid w:val="00CF5145"/>
    <w:rsid w:val="00D12AA6"/>
    <w:rsid w:val="00D741CC"/>
    <w:rsid w:val="00D84D81"/>
    <w:rsid w:val="00DC38AC"/>
    <w:rsid w:val="00DD4714"/>
    <w:rsid w:val="00DD4AB3"/>
    <w:rsid w:val="00E573DA"/>
    <w:rsid w:val="00E6680F"/>
    <w:rsid w:val="00E775B1"/>
    <w:rsid w:val="00E97A13"/>
    <w:rsid w:val="00EA2CEC"/>
    <w:rsid w:val="00EB4FA2"/>
    <w:rsid w:val="00F352CD"/>
    <w:rsid w:val="00F450E9"/>
    <w:rsid w:val="00F62C5A"/>
    <w:rsid w:val="00FA40DF"/>
    <w:rsid w:val="00FB1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75EC"/>
    <w:rPr>
      <w:sz w:val="24"/>
      <w:szCs w:val="24"/>
    </w:rPr>
  </w:style>
  <w:style w:type="paragraph" w:styleId="Heading1">
    <w:name w:val="heading 1"/>
    <w:basedOn w:val="Normal"/>
    <w:next w:val="Normal"/>
    <w:link w:val="Heading1Char"/>
    <w:qFormat/>
    <w:rsid w:val="006F75E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6F75EC"/>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rsid w:val="009B47EC"/>
    <w:rPr>
      <w:vertAlign w:val="superscript"/>
    </w:rPr>
  </w:style>
  <w:style w:type="character" w:customStyle="1" w:styleId="Superscript">
    <w:name w:val="Superscript"/>
    <w:basedOn w:val="DefaultParagraphFont"/>
    <w:rsid w:val="009B47EC"/>
    <w:rPr>
      <w:vertAlign w:val="superscript"/>
    </w:rPr>
  </w:style>
  <w:style w:type="character" w:customStyle="1" w:styleId="Subscript">
    <w:name w:val="Subscript"/>
    <w:basedOn w:val="DefaultParagraphFont"/>
    <w:rsid w:val="009B47EC"/>
    <w:rPr>
      <w:vertAlign w:val="subscript"/>
    </w:rPr>
  </w:style>
  <w:style w:type="paragraph" w:styleId="Header">
    <w:name w:val="header"/>
    <w:basedOn w:val="Normal"/>
    <w:rsid w:val="006265D4"/>
    <w:pPr>
      <w:tabs>
        <w:tab w:val="center" w:pos="4320"/>
        <w:tab w:val="right" w:pos="8640"/>
      </w:tabs>
    </w:pPr>
  </w:style>
  <w:style w:type="paragraph" w:styleId="Footer">
    <w:name w:val="footer"/>
    <w:basedOn w:val="Normal"/>
    <w:rsid w:val="006265D4"/>
    <w:pPr>
      <w:tabs>
        <w:tab w:val="center" w:pos="4320"/>
        <w:tab w:val="right" w:pos="8640"/>
      </w:tabs>
    </w:pPr>
  </w:style>
  <w:style w:type="table" w:styleId="TableGrid">
    <w:name w:val="Table Grid"/>
    <w:basedOn w:val="TableNormal"/>
    <w:rsid w:val="009C64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B4FA2"/>
  </w:style>
  <w:style w:type="character" w:styleId="FollowedHyperlink">
    <w:name w:val="FollowedHyperlink"/>
    <w:basedOn w:val="DefaultParagraphFont"/>
    <w:rsid w:val="00F62C5A"/>
    <w:rPr>
      <w:color w:val="800080"/>
      <w:u w:val="single"/>
    </w:rPr>
  </w:style>
  <w:style w:type="paragraph" w:styleId="Title">
    <w:name w:val="Title"/>
    <w:basedOn w:val="Normal"/>
    <w:next w:val="Normal"/>
    <w:link w:val="TitleChar"/>
    <w:qFormat/>
    <w:rsid w:val="006F75E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6F75EC"/>
    <w:rPr>
      <w:rFonts w:asciiTheme="majorHAnsi" w:eastAsiaTheme="majorEastAsia" w:hAnsiTheme="majorHAnsi" w:cstheme="majorBidi"/>
      <w:b/>
      <w:bCs/>
      <w:kern w:val="28"/>
      <w:sz w:val="32"/>
      <w:szCs w:val="32"/>
    </w:rPr>
  </w:style>
  <w:style w:type="character" w:styleId="Emphasis">
    <w:name w:val="Emphasis"/>
    <w:basedOn w:val="DefaultParagraphFont"/>
    <w:qFormat/>
    <w:rsid w:val="006F75EC"/>
    <w:rPr>
      <w:i/>
      <w:iCs/>
    </w:rPr>
  </w:style>
  <w:style w:type="character" w:customStyle="1" w:styleId="Heading1Char">
    <w:name w:val="Heading 1 Char"/>
    <w:basedOn w:val="DefaultParagraphFont"/>
    <w:link w:val="Heading1"/>
    <w:rsid w:val="006F75EC"/>
    <w:rPr>
      <w:rFonts w:asciiTheme="majorHAnsi" w:eastAsiaTheme="majorEastAsia" w:hAnsiTheme="majorHAnsi" w:cstheme="majorBidi"/>
      <w:b/>
      <w:bCs/>
      <w:kern w:val="32"/>
      <w:sz w:val="32"/>
      <w:szCs w:val="32"/>
    </w:rPr>
  </w:style>
  <w:style w:type="character" w:styleId="Strong">
    <w:name w:val="Strong"/>
    <w:basedOn w:val="DefaultParagraphFont"/>
    <w:qFormat/>
    <w:rsid w:val="006F75EC"/>
    <w:rPr>
      <w:b/>
      <w:bCs/>
    </w:rPr>
  </w:style>
  <w:style w:type="paragraph" w:styleId="Subtitle">
    <w:name w:val="Subtitle"/>
    <w:basedOn w:val="Normal"/>
    <w:next w:val="Normal"/>
    <w:link w:val="SubtitleChar"/>
    <w:qFormat/>
    <w:rsid w:val="006F75EC"/>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6F75EC"/>
    <w:rPr>
      <w:rFonts w:asciiTheme="majorHAnsi" w:eastAsiaTheme="majorEastAsia" w:hAnsiTheme="majorHAnsi" w:cstheme="majorBidi"/>
      <w:sz w:val="24"/>
      <w:szCs w:val="24"/>
    </w:rPr>
  </w:style>
  <w:style w:type="character" w:customStyle="1" w:styleId="Heading2Char">
    <w:name w:val="Heading 2 Char"/>
    <w:basedOn w:val="DefaultParagraphFont"/>
    <w:link w:val="Heading2"/>
    <w:rsid w:val="006F75EC"/>
    <w:rPr>
      <w:rFonts w:asciiTheme="majorHAnsi" w:eastAsiaTheme="majorEastAsia" w:hAnsiTheme="majorHAnsi" w:cstheme="majorBidi"/>
      <w:b/>
      <w:bCs/>
      <w:i/>
      <w:iCs/>
      <w:sz w:val="28"/>
      <w:szCs w:val="28"/>
    </w:rPr>
  </w:style>
  <w:style w:type="paragraph" w:styleId="BalloonText">
    <w:name w:val="Balloon Text"/>
    <w:basedOn w:val="Normal"/>
    <w:link w:val="BalloonTextChar"/>
    <w:rsid w:val="00E573DA"/>
    <w:rPr>
      <w:rFonts w:ascii="Tahoma" w:hAnsi="Tahoma" w:cs="Tahoma"/>
      <w:sz w:val="16"/>
      <w:szCs w:val="16"/>
    </w:rPr>
  </w:style>
  <w:style w:type="character" w:customStyle="1" w:styleId="BalloonTextChar">
    <w:name w:val="Balloon Text Char"/>
    <w:basedOn w:val="DefaultParagraphFont"/>
    <w:link w:val="BalloonText"/>
    <w:rsid w:val="00E573DA"/>
    <w:rPr>
      <w:rFonts w:ascii="Tahoma" w:hAnsi="Tahoma" w:cs="Tahoma"/>
      <w:sz w:val="16"/>
      <w:szCs w:val="16"/>
    </w:rPr>
  </w:style>
  <w:style w:type="paragraph" w:styleId="Revision">
    <w:name w:val="Revision"/>
    <w:hidden/>
    <w:uiPriority w:val="99"/>
    <w:semiHidden/>
    <w:rsid w:val="00E573D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75EC"/>
    <w:rPr>
      <w:sz w:val="24"/>
      <w:szCs w:val="24"/>
    </w:rPr>
  </w:style>
  <w:style w:type="paragraph" w:styleId="Heading1">
    <w:name w:val="heading 1"/>
    <w:basedOn w:val="Normal"/>
    <w:next w:val="Normal"/>
    <w:link w:val="Heading1Char"/>
    <w:qFormat/>
    <w:rsid w:val="006F75E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6F75EC"/>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rsid w:val="009B47EC"/>
    <w:rPr>
      <w:vertAlign w:val="superscript"/>
    </w:rPr>
  </w:style>
  <w:style w:type="character" w:customStyle="1" w:styleId="Superscript">
    <w:name w:val="Superscript"/>
    <w:basedOn w:val="DefaultParagraphFont"/>
    <w:rsid w:val="009B47EC"/>
    <w:rPr>
      <w:vertAlign w:val="superscript"/>
    </w:rPr>
  </w:style>
  <w:style w:type="character" w:customStyle="1" w:styleId="Subscript">
    <w:name w:val="Subscript"/>
    <w:basedOn w:val="DefaultParagraphFont"/>
    <w:rsid w:val="009B47EC"/>
    <w:rPr>
      <w:vertAlign w:val="subscript"/>
    </w:rPr>
  </w:style>
  <w:style w:type="paragraph" w:styleId="Header">
    <w:name w:val="header"/>
    <w:basedOn w:val="Normal"/>
    <w:rsid w:val="006265D4"/>
    <w:pPr>
      <w:tabs>
        <w:tab w:val="center" w:pos="4320"/>
        <w:tab w:val="right" w:pos="8640"/>
      </w:tabs>
    </w:pPr>
  </w:style>
  <w:style w:type="paragraph" w:styleId="Footer">
    <w:name w:val="footer"/>
    <w:basedOn w:val="Normal"/>
    <w:rsid w:val="006265D4"/>
    <w:pPr>
      <w:tabs>
        <w:tab w:val="center" w:pos="4320"/>
        <w:tab w:val="right" w:pos="8640"/>
      </w:tabs>
    </w:pPr>
  </w:style>
  <w:style w:type="table" w:styleId="TableGrid">
    <w:name w:val="Table Grid"/>
    <w:basedOn w:val="TableNormal"/>
    <w:rsid w:val="009C64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B4FA2"/>
  </w:style>
  <w:style w:type="character" w:styleId="FollowedHyperlink">
    <w:name w:val="FollowedHyperlink"/>
    <w:basedOn w:val="DefaultParagraphFont"/>
    <w:rsid w:val="00F62C5A"/>
    <w:rPr>
      <w:color w:val="800080"/>
      <w:u w:val="single"/>
    </w:rPr>
  </w:style>
  <w:style w:type="paragraph" w:styleId="Title">
    <w:name w:val="Title"/>
    <w:basedOn w:val="Normal"/>
    <w:next w:val="Normal"/>
    <w:link w:val="TitleChar"/>
    <w:qFormat/>
    <w:rsid w:val="006F75E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6F75EC"/>
    <w:rPr>
      <w:rFonts w:asciiTheme="majorHAnsi" w:eastAsiaTheme="majorEastAsia" w:hAnsiTheme="majorHAnsi" w:cstheme="majorBidi"/>
      <w:b/>
      <w:bCs/>
      <w:kern w:val="28"/>
      <w:sz w:val="32"/>
      <w:szCs w:val="32"/>
    </w:rPr>
  </w:style>
  <w:style w:type="character" w:styleId="Emphasis">
    <w:name w:val="Emphasis"/>
    <w:basedOn w:val="DefaultParagraphFont"/>
    <w:qFormat/>
    <w:rsid w:val="006F75EC"/>
    <w:rPr>
      <w:i/>
      <w:iCs/>
    </w:rPr>
  </w:style>
  <w:style w:type="character" w:customStyle="1" w:styleId="Heading1Char">
    <w:name w:val="Heading 1 Char"/>
    <w:basedOn w:val="DefaultParagraphFont"/>
    <w:link w:val="Heading1"/>
    <w:rsid w:val="006F75EC"/>
    <w:rPr>
      <w:rFonts w:asciiTheme="majorHAnsi" w:eastAsiaTheme="majorEastAsia" w:hAnsiTheme="majorHAnsi" w:cstheme="majorBidi"/>
      <w:b/>
      <w:bCs/>
      <w:kern w:val="32"/>
      <w:sz w:val="32"/>
      <w:szCs w:val="32"/>
    </w:rPr>
  </w:style>
  <w:style w:type="character" w:styleId="Strong">
    <w:name w:val="Strong"/>
    <w:basedOn w:val="DefaultParagraphFont"/>
    <w:qFormat/>
    <w:rsid w:val="006F75EC"/>
    <w:rPr>
      <w:b/>
      <w:bCs/>
    </w:rPr>
  </w:style>
  <w:style w:type="paragraph" w:styleId="Subtitle">
    <w:name w:val="Subtitle"/>
    <w:basedOn w:val="Normal"/>
    <w:next w:val="Normal"/>
    <w:link w:val="SubtitleChar"/>
    <w:qFormat/>
    <w:rsid w:val="006F75EC"/>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6F75EC"/>
    <w:rPr>
      <w:rFonts w:asciiTheme="majorHAnsi" w:eastAsiaTheme="majorEastAsia" w:hAnsiTheme="majorHAnsi" w:cstheme="majorBidi"/>
      <w:sz w:val="24"/>
      <w:szCs w:val="24"/>
    </w:rPr>
  </w:style>
  <w:style w:type="character" w:customStyle="1" w:styleId="Heading2Char">
    <w:name w:val="Heading 2 Char"/>
    <w:basedOn w:val="DefaultParagraphFont"/>
    <w:link w:val="Heading2"/>
    <w:rsid w:val="006F75EC"/>
    <w:rPr>
      <w:rFonts w:asciiTheme="majorHAnsi" w:eastAsiaTheme="majorEastAsia" w:hAnsiTheme="majorHAnsi" w:cstheme="majorBidi"/>
      <w:b/>
      <w:bCs/>
      <w:i/>
      <w:iCs/>
      <w:sz w:val="28"/>
      <w:szCs w:val="28"/>
    </w:rPr>
  </w:style>
  <w:style w:type="paragraph" w:styleId="BalloonText">
    <w:name w:val="Balloon Text"/>
    <w:basedOn w:val="Normal"/>
    <w:link w:val="BalloonTextChar"/>
    <w:rsid w:val="00E573DA"/>
    <w:rPr>
      <w:rFonts w:ascii="Tahoma" w:hAnsi="Tahoma" w:cs="Tahoma"/>
      <w:sz w:val="16"/>
      <w:szCs w:val="16"/>
    </w:rPr>
  </w:style>
  <w:style w:type="character" w:customStyle="1" w:styleId="BalloonTextChar">
    <w:name w:val="Balloon Text Char"/>
    <w:basedOn w:val="DefaultParagraphFont"/>
    <w:link w:val="BalloonText"/>
    <w:rsid w:val="00E573DA"/>
    <w:rPr>
      <w:rFonts w:ascii="Tahoma" w:hAnsi="Tahoma" w:cs="Tahoma"/>
      <w:sz w:val="16"/>
      <w:szCs w:val="16"/>
    </w:rPr>
  </w:style>
  <w:style w:type="paragraph" w:styleId="Revision">
    <w:name w:val="Revision"/>
    <w:hidden/>
    <w:uiPriority w:val="99"/>
    <w:semiHidden/>
    <w:rsid w:val="00E573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Microsoft_Excel_97-2003_Worksheet1.xls"/><Relationship Id="rId5" Type="http://schemas.openxmlformats.org/officeDocument/2006/relationships/settings" Target="settings.xml"/><Relationship Id="rId10"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2F097-0C6E-4533-9109-3F0A22761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751</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NIRSPEC: Flat Lamp Intensity Adjustment</vt:lpstr>
    </vt:vector>
  </TitlesOfParts>
  <Company>CARA</Company>
  <LinksUpToDate>false</LinksUpToDate>
  <CharactersWithSpaces>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NIRSPEC: Flat Lamp Intensity Adjustment</dc:title>
  <dc:subject/>
  <dc:creator>jlyke</dc:creator>
  <cp:keywords/>
  <dc:description/>
  <cp:lastModifiedBy>Gregory Wirth</cp:lastModifiedBy>
  <cp:revision>5</cp:revision>
  <cp:lastPrinted>2012-12-18T07:12:00Z</cp:lastPrinted>
  <dcterms:created xsi:type="dcterms:W3CDTF">2012-12-11T07:08:00Z</dcterms:created>
  <dcterms:modified xsi:type="dcterms:W3CDTF">2012-12-18T07:14:00Z</dcterms:modified>
</cp:coreProperties>
</file>